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06D" w:rsidRDefault="0067606D" w:rsidP="0067606D">
      <w:pPr>
        <w:jc w:val="both"/>
        <w:rPr>
          <w:rFonts w:ascii="Times New Roman" w:hAnsi="Times New Roman" w:cs="Times New Roman"/>
          <w:sz w:val="24"/>
          <w:szCs w:val="24"/>
        </w:rPr>
      </w:pPr>
      <w:bookmarkStart w:id="0" w:name="_GoBack"/>
      <w:bookmarkEnd w:id="0"/>
      <w:r w:rsidRPr="00261A84">
        <w:rPr>
          <w:rFonts w:ascii="Times New Roman" w:hAnsi="Times New Roman" w:cs="Times New Roman"/>
          <w:sz w:val="24"/>
          <w:szCs w:val="24"/>
        </w:rPr>
        <w:t>Fideiussione a garanzia del contributo assentito ai sensi del disposto di cui ai commi 3 e 4 dell’art.  5 del Decreto Interministeriale n. 272 del 30 ottobre 2023.</w:t>
      </w:r>
    </w:p>
    <w:p w:rsidR="0067606D" w:rsidRPr="00261A84" w:rsidRDefault="0067606D" w:rsidP="0067606D">
      <w:pPr>
        <w:jc w:val="both"/>
        <w:rPr>
          <w:rFonts w:ascii="Times New Roman" w:hAnsi="Times New Roman" w:cs="Times New Roman"/>
          <w:sz w:val="24"/>
          <w:szCs w:val="24"/>
        </w:rPr>
      </w:pPr>
    </w:p>
    <w:p w:rsidR="0067606D" w:rsidRPr="00261A84" w:rsidRDefault="0067606D" w:rsidP="0067606D">
      <w:pPr>
        <w:jc w:val="center"/>
        <w:rPr>
          <w:rFonts w:ascii="Times New Roman" w:hAnsi="Times New Roman" w:cs="Times New Roman"/>
          <w:b/>
          <w:bCs/>
          <w:sz w:val="24"/>
          <w:szCs w:val="24"/>
        </w:rPr>
      </w:pPr>
      <w:r w:rsidRPr="00261A84">
        <w:rPr>
          <w:rFonts w:ascii="Times New Roman" w:hAnsi="Times New Roman" w:cs="Times New Roman"/>
          <w:b/>
          <w:bCs/>
          <w:sz w:val="24"/>
          <w:szCs w:val="24"/>
        </w:rPr>
        <w:t>Premesso che</w:t>
      </w:r>
    </w:p>
    <w:p w:rsidR="0067606D" w:rsidRPr="00261A84" w:rsidRDefault="0067606D" w:rsidP="0067606D">
      <w:pPr>
        <w:jc w:val="both"/>
        <w:rPr>
          <w:rFonts w:ascii="Times New Roman" w:hAnsi="Times New Roman" w:cs="Times New Roman"/>
          <w:sz w:val="24"/>
          <w:szCs w:val="24"/>
        </w:rPr>
      </w:pPr>
    </w:p>
    <w:p w:rsidR="0067606D" w:rsidRPr="00261A84" w:rsidRDefault="0067606D" w:rsidP="0067606D">
      <w:pPr>
        <w:pStyle w:val="Paragrafoelenco"/>
        <w:numPr>
          <w:ilvl w:val="0"/>
          <w:numId w:val="1"/>
        </w:numPr>
        <w:spacing w:after="160" w:line="259" w:lineRule="auto"/>
        <w:ind w:left="284" w:hanging="284"/>
        <w:contextualSpacing/>
        <w:jc w:val="both"/>
        <w:rPr>
          <w:rFonts w:ascii="Times New Roman" w:hAnsi="Times New Roman" w:cs="Times New Roman"/>
          <w:sz w:val="24"/>
          <w:szCs w:val="24"/>
        </w:rPr>
      </w:pPr>
      <w:r w:rsidRPr="00261A84">
        <w:rPr>
          <w:rFonts w:ascii="Times New Roman" w:hAnsi="Times New Roman" w:cs="Times New Roman"/>
          <w:sz w:val="24"/>
          <w:szCs w:val="24"/>
        </w:rPr>
        <w:t>Il Contraente _____________________________________, C.F. ________________</w:t>
      </w:r>
      <w:r>
        <w:rPr>
          <w:rFonts w:ascii="Times New Roman" w:hAnsi="Times New Roman" w:cs="Times New Roman"/>
          <w:sz w:val="24"/>
          <w:szCs w:val="24"/>
        </w:rPr>
        <w:t>____</w:t>
      </w:r>
      <w:r w:rsidRPr="00261A84">
        <w:rPr>
          <w:rFonts w:ascii="Times New Roman" w:hAnsi="Times New Roman" w:cs="Times New Roman"/>
          <w:sz w:val="24"/>
          <w:szCs w:val="24"/>
        </w:rPr>
        <w:t>___ P.I. ___________________, con sede legale in ____________________________, (indicare esatta denominazione ed estremi identificativi del soggetto richiedente/datore di lavoro; sede legale, codice fiscale e partita IVA), ha presentato una richiesta di contributo __________________ con istanza n. ________ del __/__/____</w:t>
      </w:r>
    </w:p>
    <w:p w:rsidR="0067606D" w:rsidRPr="00261A84" w:rsidRDefault="0067606D" w:rsidP="0067606D">
      <w:pPr>
        <w:pStyle w:val="Paragrafoelenco"/>
        <w:numPr>
          <w:ilvl w:val="0"/>
          <w:numId w:val="1"/>
        </w:numPr>
        <w:spacing w:after="160" w:line="259" w:lineRule="auto"/>
        <w:ind w:left="284" w:hanging="284"/>
        <w:contextualSpacing/>
        <w:jc w:val="both"/>
        <w:rPr>
          <w:rFonts w:ascii="Times New Roman" w:hAnsi="Times New Roman" w:cs="Times New Roman"/>
          <w:sz w:val="24"/>
          <w:szCs w:val="24"/>
        </w:rPr>
      </w:pPr>
      <w:r w:rsidRPr="00261A84">
        <w:rPr>
          <w:rFonts w:ascii="Times New Roman" w:hAnsi="Times New Roman" w:cs="Times New Roman"/>
          <w:sz w:val="24"/>
          <w:szCs w:val="24"/>
        </w:rPr>
        <w:t xml:space="preserve">Il Ministero delle Infrastrutture e dei Trasporti, al termine dell’attività istruttoria, ha riconosciuto l'ammissibilità al contributo di cui all’istanza n. ________ del __/__/____ nella misura di € </w:t>
      </w:r>
      <w:r w:rsidRPr="004A5672">
        <w:rPr>
          <w:rFonts w:ascii="Times New Roman" w:hAnsi="Times New Roman" w:cs="Times New Roman"/>
          <w:sz w:val="24"/>
          <w:szCs w:val="24"/>
        </w:rPr>
        <w:t>__________________ con Decreto Direttoriale del __/__/____, cui è stato assegnato il CUP n. xxxxxxxxxxxxxxxx con riguardo</w:t>
      </w:r>
      <w:r w:rsidRPr="00261A84">
        <w:rPr>
          <w:rFonts w:ascii="Times New Roman" w:hAnsi="Times New Roman" w:cs="Times New Roman"/>
          <w:sz w:val="24"/>
          <w:szCs w:val="24"/>
        </w:rPr>
        <w:t xml:space="preserve"> ai veicoli di cui all’ allegato elenco.</w:t>
      </w:r>
    </w:p>
    <w:p w:rsidR="0067606D" w:rsidRDefault="0067606D" w:rsidP="0067606D">
      <w:pPr>
        <w:jc w:val="center"/>
        <w:rPr>
          <w:rFonts w:ascii="Times New Roman" w:hAnsi="Times New Roman" w:cs="Times New Roman"/>
          <w:b/>
          <w:bCs/>
          <w:sz w:val="24"/>
          <w:szCs w:val="24"/>
        </w:rPr>
      </w:pPr>
    </w:p>
    <w:p w:rsidR="0067606D" w:rsidRDefault="0067606D" w:rsidP="0067606D">
      <w:pPr>
        <w:jc w:val="center"/>
        <w:rPr>
          <w:rFonts w:ascii="Times New Roman" w:hAnsi="Times New Roman" w:cs="Times New Roman"/>
          <w:b/>
          <w:bCs/>
          <w:sz w:val="24"/>
          <w:szCs w:val="24"/>
        </w:rPr>
      </w:pPr>
      <w:r w:rsidRPr="00261A84">
        <w:rPr>
          <w:rFonts w:ascii="Times New Roman" w:hAnsi="Times New Roman" w:cs="Times New Roman"/>
          <w:b/>
          <w:bCs/>
          <w:sz w:val="24"/>
          <w:szCs w:val="24"/>
        </w:rPr>
        <w:t>TUTTO CIÒ PREMESSO, DA CONSIDERARSI PARTE INTEGRANTE E SOSTANZIALE DEL PRESENTE ATTO</w:t>
      </w:r>
    </w:p>
    <w:p w:rsidR="0067606D" w:rsidRPr="00261A84" w:rsidRDefault="0067606D" w:rsidP="0067606D">
      <w:pPr>
        <w:jc w:val="center"/>
        <w:rPr>
          <w:rFonts w:ascii="Times New Roman" w:hAnsi="Times New Roman" w:cs="Times New Roman"/>
          <w:b/>
          <w:bCs/>
          <w:sz w:val="24"/>
          <w:szCs w:val="24"/>
        </w:rPr>
      </w:pP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La Società ____________________ (indicare esatta denominazione ed estremi identificativi) con sede in __________________, iscritta nel registro delle imprese di _____________ al n. ______ Codice Fiscale ___________ Partita Iva ____________, casella PEC ____________, autorizzata ad esercitare l’attività __________(specificare se finanziaria o di assicurazione nel ramo cauzioni) con provvedimento ________ (indicare gli estremi dell’autorizzazione), qui di seguito denominata Fideiussore, in persona del suo legale rappresentante sig./ra ______, nato/a il __/__/____ a ________, giusti i poteri conferiti con atto n. _______, registrato presso ______</w:t>
      </w:r>
    </w:p>
    <w:p w:rsidR="0067606D" w:rsidRPr="00261A84" w:rsidRDefault="0067606D" w:rsidP="0067606D">
      <w:pPr>
        <w:jc w:val="center"/>
        <w:rPr>
          <w:rFonts w:ascii="Times New Roman" w:hAnsi="Times New Roman" w:cs="Times New Roman"/>
          <w:sz w:val="24"/>
          <w:szCs w:val="24"/>
        </w:rPr>
      </w:pPr>
      <w:r w:rsidRPr="00261A84">
        <w:rPr>
          <w:rFonts w:ascii="Times New Roman" w:hAnsi="Times New Roman" w:cs="Times New Roman"/>
          <w:b/>
          <w:bCs/>
          <w:sz w:val="24"/>
          <w:szCs w:val="24"/>
        </w:rPr>
        <w:t>DICHIARA</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di prestare fideiussione, nell’interesse del contraente _______ (indicare esatta denominazione), in persona del legale rappresentante sig./ra ______ nato/a il __/__/____ a ______, ed in favore del Ministero delle Infrastrutture e dei Trasporti – Direzione Generale per il trasporto e le infrastrutture ferroviarie, per un ammontare di € __________ (specificare l’importo in cifre e lettere), secondo i termini e le condizioni di seguito indicati.</w:t>
      </w:r>
    </w:p>
    <w:p w:rsidR="0067606D" w:rsidRDefault="0067606D" w:rsidP="0067606D">
      <w:pPr>
        <w:jc w:val="both"/>
        <w:rPr>
          <w:rFonts w:ascii="Times New Roman" w:hAnsi="Times New Roman" w:cs="Times New Roman"/>
          <w:sz w:val="24"/>
          <w:szCs w:val="24"/>
        </w:rPr>
      </w:pPr>
    </w:p>
    <w:p w:rsidR="0067606D" w:rsidRPr="00261A84" w:rsidRDefault="0067606D" w:rsidP="0067606D">
      <w:pPr>
        <w:jc w:val="both"/>
        <w:rPr>
          <w:rFonts w:ascii="Times New Roman" w:hAnsi="Times New Roman" w:cs="Times New Roman"/>
          <w:sz w:val="24"/>
          <w:szCs w:val="24"/>
        </w:rPr>
      </w:pPr>
    </w:p>
    <w:p w:rsidR="0067606D" w:rsidRPr="00261A84" w:rsidRDefault="0067606D" w:rsidP="0067606D">
      <w:pPr>
        <w:jc w:val="center"/>
        <w:rPr>
          <w:rFonts w:ascii="Times New Roman" w:hAnsi="Times New Roman" w:cs="Times New Roman"/>
          <w:b/>
          <w:bCs/>
          <w:sz w:val="24"/>
          <w:szCs w:val="24"/>
        </w:rPr>
      </w:pPr>
      <w:r w:rsidRPr="00261A84">
        <w:rPr>
          <w:rFonts w:ascii="Times New Roman" w:hAnsi="Times New Roman" w:cs="Times New Roman"/>
          <w:b/>
          <w:bCs/>
          <w:sz w:val="24"/>
          <w:szCs w:val="24"/>
        </w:rPr>
        <w:t>ARTICOLO 1 – OGGETTO DELLA GARANZIA</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 xml:space="preserve">Il Fideiussore, in caso di mancato adempimento degli obblighi da parte del Contraente, si impegna irrevocabilmente ed incondizionatamente a garantire al Ministero delle Infrastrutture e dei Trasporti </w:t>
      </w:r>
      <w:r w:rsidRPr="00261A84">
        <w:rPr>
          <w:rFonts w:ascii="Times New Roman" w:hAnsi="Times New Roman" w:cs="Times New Roman"/>
          <w:sz w:val="24"/>
          <w:szCs w:val="24"/>
        </w:rPr>
        <w:lastRenderedPageBreak/>
        <w:t>- Direzione Generale per il trasporto e le infrastrutture ferroviarie la restituzione della somma di € _________, (_______________________/__) erogata al Contraente stesso.</w:t>
      </w:r>
    </w:p>
    <w:p w:rsidR="0067606D" w:rsidRPr="00261A84" w:rsidRDefault="0067606D" w:rsidP="0067606D">
      <w:pPr>
        <w:jc w:val="both"/>
        <w:rPr>
          <w:rFonts w:ascii="Times New Roman" w:hAnsi="Times New Roman" w:cs="Times New Roman"/>
          <w:sz w:val="24"/>
          <w:szCs w:val="24"/>
        </w:rPr>
      </w:pPr>
    </w:p>
    <w:p w:rsidR="0067606D" w:rsidRPr="00261A84" w:rsidRDefault="0067606D" w:rsidP="0067606D">
      <w:pPr>
        <w:jc w:val="center"/>
        <w:rPr>
          <w:rFonts w:ascii="Times New Roman" w:hAnsi="Times New Roman" w:cs="Times New Roman"/>
          <w:b/>
          <w:bCs/>
          <w:sz w:val="24"/>
          <w:szCs w:val="24"/>
        </w:rPr>
      </w:pPr>
      <w:r w:rsidRPr="00261A84">
        <w:rPr>
          <w:rFonts w:ascii="Times New Roman" w:hAnsi="Times New Roman" w:cs="Times New Roman"/>
          <w:b/>
          <w:bCs/>
          <w:sz w:val="24"/>
          <w:szCs w:val="24"/>
        </w:rPr>
        <w:t>ARTICOLO 2 – EFFICACIA E DURATA DELLA GARANZIA</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 xml:space="preserve">La presente garanzia fidejussoria ha una durata </w:t>
      </w:r>
      <w:r w:rsidRPr="006D2997">
        <w:rPr>
          <w:rFonts w:ascii="Times New Roman" w:hAnsi="Times New Roman" w:cs="Times New Roman"/>
          <w:sz w:val="24"/>
          <w:szCs w:val="24"/>
        </w:rPr>
        <w:t>di 3 anni e 6 mesi decorrent</w:t>
      </w:r>
      <w:r w:rsidRPr="00261A84">
        <w:rPr>
          <w:rFonts w:ascii="Times New Roman" w:hAnsi="Times New Roman" w:cs="Times New Roman"/>
          <w:sz w:val="24"/>
          <w:szCs w:val="24"/>
        </w:rPr>
        <w:t>e dalla data di stipula della polizza e comunque fino alla dichiarazione di svincolo da parte dell’Amministrazione, se precedente rispetto alla conclusione di tale periodo.</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Il Fideiussore conviene espressamente che la presente garanzia fideiussoria si intenderà tacitamente accettata dall’Amministrazione, qualora nel termine di quindici giorni dalla data di ricezione non venga comunicato alla Società che la garanzia fideiussoria non è ritenuta valida.</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 xml:space="preserve">Alla scadenza del periodo massimo, la garanzia, ove non sia stata previamente svincolata da parte del Ministero delle Infrastrutture e dei Trasporti, cesserà decadendo automaticamente e ad ogni effetto. </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Il Fideiussore non potrà recedere durante il periodo di efficacia della presente garanzia e prende atto del fatto che il contributo non potrà in alcun modo essere oggetto di cessione a terzi da parte dell’associazione.</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Il mancato pagamento del premio non potrà essere opposto all’Amministrazione garantita.</w:t>
      </w:r>
    </w:p>
    <w:p w:rsidR="0067606D" w:rsidRPr="00261A84" w:rsidRDefault="0067606D" w:rsidP="0067606D">
      <w:pPr>
        <w:jc w:val="center"/>
        <w:rPr>
          <w:rFonts w:ascii="Times New Roman" w:hAnsi="Times New Roman" w:cs="Times New Roman"/>
          <w:b/>
          <w:bCs/>
          <w:sz w:val="24"/>
          <w:szCs w:val="24"/>
        </w:rPr>
      </w:pPr>
      <w:r w:rsidRPr="00261A84">
        <w:rPr>
          <w:rFonts w:ascii="Times New Roman" w:hAnsi="Times New Roman" w:cs="Times New Roman"/>
          <w:b/>
          <w:bCs/>
          <w:sz w:val="24"/>
          <w:szCs w:val="24"/>
        </w:rPr>
        <w:t>ARTICOLO 3 – ESCUSSIONE DELLA POLIZZA</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 xml:space="preserve">Ove ricorra la circostanza di dover provvedere a totale o parziale incameramento delle somme garantite dalla fideiussione in favore del Ministero delle Infrastrutture e dei Trasporti, il Fideiussore si impegna irrevocabilmente a pagare, entro un termine di 15 giorni dalla richiesta, immediatamente al Ministero delle Infrastrutture e dei Trasporti, dietro semplice richiesta scritta e senza necessità di alcuna prova e motivazione, ogni eccezione rimossa, e senza necessità di alcuna previa comunicazione, intimazione, messa in mora o richiesta nei confronti del contraente, tutte le somme che il Ministero delle Infrastrutture e dei Trasporti stesso richiederà al titolo sopra indicato fino alla concorrenza dell’importo di cui all’art. 1, entro il termine massimo di 30 giorni dal ricevimento della richiesta stessa. </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Nel caso di ritardo nella liquidazione dell'importo garantito, comprensivo di interessi, il Fideiussore corrisponderà i relativi interessi moratori in misura pari al tasso ufficiale di riferimento (TUR) con decorrenza dal trentesimo giorno successivo a quello della ricezione della richiesta di escussione, senza necessità di costituzione in mora.</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Il Fideiussore non potrà opporre alcuna eccezione anche in caso che il Contraente sia dichiarato nel frattempo fallito, ovvero sottoposto a procedure concorsuali o posto in liquidazione.</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Il Fideiussore dichiara che alla presente garanzia non sono applicabili le disposizioni di cui agli articoli 1955 e 1957 del codice civile, delle quali, comunque, rinuncia ad avvalersi.</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lastRenderedPageBreak/>
        <w:t>Tale richiesta dovrà pervenire al Fideiussore entro i termini di cui all’art.2 ed essere formulata in conformità all’art.5.</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Il Fideiussore rinuncia formalmente ed espressamente al beneficio della preventiva escussione di cui all’art. 1944 c.c. e rinuncia all’eccezione di cui all’art.1957, comma 2, c.c.</w:t>
      </w:r>
    </w:p>
    <w:p w:rsidR="0067606D" w:rsidRPr="00261A84" w:rsidRDefault="0067606D" w:rsidP="0067606D">
      <w:pPr>
        <w:jc w:val="center"/>
        <w:rPr>
          <w:rFonts w:ascii="Times New Roman" w:hAnsi="Times New Roman" w:cs="Times New Roman"/>
          <w:b/>
          <w:bCs/>
          <w:sz w:val="24"/>
          <w:szCs w:val="24"/>
        </w:rPr>
      </w:pPr>
      <w:r w:rsidRPr="00261A84">
        <w:rPr>
          <w:rFonts w:ascii="Times New Roman" w:hAnsi="Times New Roman" w:cs="Times New Roman"/>
          <w:b/>
          <w:bCs/>
          <w:sz w:val="24"/>
          <w:szCs w:val="24"/>
        </w:rPr>
        <w:t>ARTICOLO 4 – SURROGAZIONE - REGRESSO</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Il Fideiussore, nei limiti delle somme corrisposte all’Amministrazione garantita, è surrogato a quest’ultimo in tutti i diritti, ragioni ed azioni verso il Contraente, i suoi successori ed aventi causa a qualsiasi titolo.</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Il Fideiussore ha altresì il diritto di regresso verso il Contraente per le somme pagate in forza della presente garanzia.</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Il Ministero delle Infrastrutture e dei Trasporti faciliterà le azioni di recupero fornendo al Fideiussore tutti gli elementi utili in suo possesso.</w:t>
      </w:r>
    </w:p>
    <w:p w:rsidR="0067606D" w:rsidRPr="00261A84" w:rsidRDefault="0067606D" w:rsidP="0067606D">
      <w:pPr>
        <w:jc w:val="center"/>
        <w:rPr>
          <w:rFonts w:ascii="Times New Roman" w:hAnsi="Times New Roman" w:cs="Times New Roman"/>
          <w:b/>
          <w:bCs/>
          <w:sz w:val="24"/>
          <w:szCs w:val="24"/>
        </w:rPr>
      </w:pPr>
      <w:r w:rsidRPr="00261A84">
        <w:rPr>
          <w:rFonts w:ascii="Times New Roman" w:hAnsi="Times New Roman" w:cs="Times New Roman"/>
          <w:b/>
          <w:bCs/>
          <w:sz w:val="24"/>
          <w:szCs w:val="24"/>
        </w:rPr>
        <w:t>ARTICOLO 5 – FORMA DELLE COMUNICAZIONI</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Tutte le comunicazioni e notifiche al Fideiussore, dipendenti dalla presente garanzia devono avvenire esclusivamente con lettera raccomandata o tramite PEC inviate agli indirizzi indicati nella scheda riportata in premessa.</w:t>
      </w:r>
    </w:p>
    <w:p w:rsidR="0067606D" w:rsidRPr="00261A84" w:rsidRDefault="0067606D" w:rsidP="0067606D">
      <w:pPr>
        <w:jc w:val="center"/>
        <w:rPr>
          <w:rFonts w:ascii="Times New Roman" w:hAnsi="Times New Roman" w:cs="Times New Roman"/>
          <w:b/>
          <w:bCs/>
          <w:sz w:val="24"/>
          <w:szCs w:val="24"/>
        </w:rPr>
      </w:pPr>
      <w:r w:rsidRPr="00261A84">
        <w:rPr>
          <w:rFonts w:ascii="Times New Roman" w:hAnsi="Times New Roman" w:cs="Times New Roman"/>
          <w:b/>
          <w:bCs/>
          <w:sz w:val="24"/>
          <w:szCs w:val="24"/>
        </w:rPr>
        <w:t>ARTICOLO 6 – REQUISITI SOGGETTIVI</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 xml:space="preserve">Il Fiudeiussore dichiara, secondo il caso, di: </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 xml:space="preserve">(a) possedere alternativamente i requisiti soggettivi previsti dall’art. 1 della legge 10 giugno 1982, n. 348 o dall’art. 106 del d.lgs. 1° settembre 1993, n. 385, come novellato dal decreto legislativo 13 agosto 2010, n. 14: </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 xml:space="preserve">1. se Banca, di essere iscritta all’Albo presso la Banca d’Italia; </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 xml:space="preserve">2. se Società di assicurazione, di essere inserita nell’elenco delle imprese autorizzate all’esercizio del ramo cauzioni presso l’IVASS (già ISVAP); </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 xml:space="preserve">3. se Società finanziaria, di essere inserita nell’elenco speciale di cui all’articolo 106 del decreto legislativo 1° settembre 1993, n. 385, come novellato dal decreto legislativo 13 agosto 2010, n. 14. </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(b) di non essere stata temporaneamente inibita ad esercitare la propria attività sul territorio nazionale dalle competenti Autorità nazionali o comunitarie.</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Nel caso in cui il Fideiussore sia sottoposto a procedura concorsuale o comunque cessi la propria attività per qualunque causa, il Contraente dovrà rinnovare la fideiussione con un altro dei soggetti sopraindicati, dandone immediata comunicazione al Ministero delle Infrastrutture e dei Trasporti.</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Nel caso in cui il Fideiussore sia un soggetto estero, esso dichiara di essere in regola con gli adempimenti e le disposizioni previste in materia di legalizzazione di documenti prodotti all’estero e presentati alle pubbliche amministrazioni (art. 33 del D.p.r. 445/2000).</w:t>
      </w:r>
    </w:p>
    <w:p w:rsidR="0067606D" w:rsidRPr="00261A84" w:rsidRDefault="0067606D" w:rsidP="0067606D">
      <w:pPr>
        <w:jc w:val="center"/>
        <w:rPr>
          <w:rFonts w:ascii="Times New Roman" w:hAnsi="Times New Roman" w:cs="Times New Roman"/>
          <w:sz w:val="24"/>
          <w:szCs w:val="24"/>
        </w:rPr>
      </w:pPr>
      <w:r w:rsidRPr="00261A84">
        <w:rPr>
          <w:rFonts w:ascii="Times New Roman" w:hAnsi="Times New Roman" w:cs="Times New Roman"/>
          <w:b/>
          <w:bCs/>
          <w:sz w:val="24"/>
          <w:szCs w:val="24"/>
        </w:rPr>
        <w:lastRenderedPageBreak/>
        <w:t>ARTICOLO 7 – FORO COMPETENTE</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 xml:space="preserve">Le parti convengono che per qualsiasi controversia che possa sorgere nei confronti dell’Amministrazione garantita, il Foro competente è </w:t>
      </w:r>
      <w:r w:rsidRPr="006D2997">
        <w:rPr>
          <w:rFonts w:ascii="Times New Roman" w:hAnsi="Times New Roman" w:cs="Times New Roman"/>
          <w:sz w:val="24"/>
          <w:szCs w:val="24"/>
        </w:rPr>
        <w:t>quello di ROMA.</w:t>
      </w:r>
      <w:r w:rsidRPr="00261A84">
        <w:rPr>
          <w:rFonts w:ascii="Times New Roman" w:hAnsi="Times New Roman" w:cs="Times New Roman"/>
          <w:sz w:val="24"/>
          <w:szCs w:val="24"/>
        </w:rPr>
        <w:t xml:space="preserve"> </w:t>
      </w:r>
    </w:p>
    <w:p w:rsidR="0067606D" w:rsidRPr="00261A84" w:rsidRDefault="0067606D" w:rsidP="0067606D">
      <w:pPr>
        <w:jc w:val="both"/>
        <w:rPr>
          <w:rFonts w:ascii="Times New Roman" w:hAnsi="Times New Roman" w:cs="Times New Roman"/>
          <w:sz w:val="24"/>
          <w:szCs w:val="24"/>
        </w:rPr>
      </w:pPr>
    </w:p>
    <w:p w:rsidR="0067606D" w:rsidRPr="00261A84" w:rsidRDefault="0067606D" w:rsidP="0067606D">
      <w:pPr>
        <w:jc w:val="center"/>
        <w:rPr>
          <w:rFonts w:ascii="Times New Roman" w:hAnsi="Times New Roman" w:cs="Times New Roman"/>
          <w:sz w:val="24"/>
          <w:szCs w:val="24"/>
        </w:rPr>
      </w:pPr>
      <w:r w:rsidRPr="00261A84">
        <w:rPr>
          <w:rFonts w:ascii="Times New Roman" w:hAnsi="Times New Roman" w:cs="Times New Roman"/>
          <w:b/>
          <w:bCs/>
          <w:sz w:val="24"/>
          <w:szCs w:val="24"/>
        </w:rPr>
        <w:t>ARTICOLO 8 – INEFFICACIA DI CLAUSOLE LIMITATIVE DELLA GARANZIA</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 xml:space="preserve">Sono da considerare inefficaci eventuali limitazioni dell’irrevocabilità, incondizionabilità ed escutibilità a prima richiesta della presente fidejussione.  </w:t>
      </w:r>
    </w:p>
    <w:p w:rsidR="0067606D" w:rsidRPr="00261A84" w:rsidRDefault="0067606D" w:rsidP="0067606D">
      <w:pPr>
        <w:jc w:val="both"/>
        <w:rPr>
          <w:rFonts w:ascii="Times New Roman" w:hAnsi="Times New Roman" w:cs="Times New Roman"/>
          <w:sz w:val="24"/>
          <w:szCs w:val="24"/>
        </w:rPr>
      </w:pPr>
    </w:p>
    <w:p w:rsidR="0067606D" w:rsidRPr="00261A84" w:rsidRDefault="0067606D" w:rsidP="0067606D">
      <w:pPr>
        <w:jc w:val="center"/>
        <w:rPr>
          <w:rFonts w:ascii="Times New Roman" w:hAnsi="Times New Roman" w:cs="Times New Roman"/>
          <w:sz w:val="24"/>
          <w:szCs w:val="24"/>
        </w:rPr>
      </w:pPr>
      <w:r w:rsidRPr="00261A84">
        <w:rPr>
          <w:rFonts w:ascii="Times New Roman" w:hAnsi="Times New Roman" w:cs="Times New Roman"/>
          <w:b/>
          <w:bCs/>
          <w:sz w:val="24"/>
          <w:szCs w:val="24"/>
        </w:rPr>
        <w:t>ARTICOLO 9 – RINVIO ALLE NORME DI LEGGE</w:t>
      </w: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Per tutto quanto non diversamente regolato, valgono le norme di legge.</w:t>
      </w:r>
    </w:p>
    <w:p w:rsidR="0067606D" w:rsidRPr="00261A84" w:rsidRDefault="0067606D" w:rsidP="0067606D">
      <w:pPr>
        <w:jc w:val="both"/>
        <w:rPr>
          <w:rFonts w:ascii="Times New Roman" w:hAnsi="Times New Roman" w:cs="Times New Roman"/>
          <w:sz w:val="24"/>
          <w:szCs w:val="24"/>
        </w:rPr>
      </w:pP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Data e luogo</w:t>
      </w:r>
    </w:p>
    <w:p w:rsidR="0067606D" w:rsidRPr="00261A84" w:rsidRDefault="0067606D" w:rsidP="0067606D">
      <w:pPr>
        <w:jc w:val="both"/>
        <w:rPr>
          <w:rFonts w:ascii="Times New Roman" w:hAnsi="Times New Roman" w:cs="Times New Roman"/>
          <w:sz w:val="24"/>
          <w:szCs w:val="24"/>
        </w:rPr>
      </w:pP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Firma del rappresentante legale della Banca o Società/fideiussore.</w:t>
      </w:r>
    </w:p>
    <w:p w:rsidR="0067606D" w:rsidRPr="00261A84" w:rsidRDefault="0067606D" w:rsidP="0067606D">
      <w:pPr>
        <w:jc w:val="both"/>
        <w:rPr>
          <w:rFonts w:ascii="Times New Roman" w:hAnsi="Times New Roman" w:cs="Times New Roman"/>
          <w:sz w:val="24"/>
          <w:szCs w:val="24"/>
        </w:rPr>
      </w:pPr>
    </w:p>
    <w:p w:rsidR="0067606D" w:rsidRPr="00261A84" w:rsidRDefault="0067606D" w:rsidP="0067606D">
      <w:pPr>
        <w:jc w:val="both"/>
        <w:rPr>
          <w:rFonts w:ascii="Times New Roman" w:hAnsi="Times New Roman" w:cs="Times New Roman"/>
          <w:sz w:val="24"/>
          <w:szCs w:val="24"/>
        </w:rPr>
      </w:pPr>
      <w:r w:rsidRPr="00261A84">
        <w:rPr>
          <w:rFonts w:ascii="Times New Roman" w:hAnsi="Times New Roman" w:cs="Times New Roman"/>
          <w:sz w:val="24"/>
          <w:szCs w:val="24"/>
        </w:rPr>
        <w:t>Firma del legale rappresentante della società beneficiaria della contribuzione</w:t>
      </w:r>
    </w:p>
    <w:p w:rsidR="0067606D" w:rsidRPr="00261A84" w:rsidRDefault="0067606D" w:rsidP="0067606D">
      <w:pPr>
        <w:rPr>
          <w:rFonts w:ascii="Times New Roman" w:hAnsi="Times New Roman" w:cs="Times New Roman"/>
          <w:sz w:val="24"/>
          <w:szCs w:val="24"/>
        </w:rPr>
      </w:pPr>
    </w:p>
    <w:p w:rsidR="0067606D" w:rsidRPr="00261A84" w:rsidRDefault="0067606D" w:rsidP="0067606D">
      <w:pPr>
        <w:pStyle w:val="Default"/>
        <w:jc w:val="both"/>
        <w:rPr>
          <w:rFonts w:ascii="Times New Roman" w:hAnsi="Times New Roman" w:cs="Times New Roman"/>
          <w:i/>
          <w:color w:val="222222"/>
          <w:shd w:val="clear" w:color="auto" w:fill="FFFFFF"/>
        </w:rPr>
      </w:pPr>
    </w:p>
    <w:p w:rsidR="00F05420" w:rsidRDefault="00F05420"/>
    <w:sectPr w:rsidR="00F0542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32B" w:rsidRDefault="00F4432B">
      <w:pPr>
        <w:spacing w:after="0" w:line="240" w:lineRule="auto"/>
      </w:pPr>
      <w:r>
        <w:separator/>
      </w:r>
    </w:p>
  </w:endnote>
  <w:endnote w:type="continuationSeparator" w:id="0">
    <w:p w:rsidR="00F4432B" w:rsidRDefault="00F4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952196"/>
      <w:docPartObj>
        <w:docPartGallery w:val="Page Numbers (Bottom of Page)"/>
        <w:docPartUnique/>
      </w:docPartObj>
    </w:sdtPr>
    <w:sdtEndPr/>
    <w:sdtContent>
      <w:p w:rsidR="00F671A4" w:rsidRDefault="0067606D">
        <w:pPr>
          <w:pStyle w:val="Pidipagina"/>
          <w:jc w:val="right"/>
        </w:pPr>
        <w:r>
          <w:fldChar w:fldCharType="begin"/>
        </w:r>
        <w:r>
          <w:instrText>PAGE   \* MERGEFORMAT</w:instrText>
        </w:r>
        <w:r>
          <w:fldChar w:fldCharType="separate"/>
        </w:r>
        <w:r w:rsidR="008C78BE">
          <w:rPr>
            <w:noProof/>
          </w:rPr>
          <w:t>2</w:t>
        </w:r>
        <w:r>
          <w:fldChar w:fldCharType="end"/>
        </w:r>
      </w:p>
    </w:sdtContent>
  </w:sdt>
  <w:p w:rsidR="00F671A4" w:rsidRDefault="00F4432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32B" w:rsidRDefault="00F4432B">
      <w:pPr>
        <w:spacing w:after="0" w:line="240" w:lineRule="auto"/>
      </w:pPr>
      <w:r>
        <w:separator/>
      </w:r>
    </w:p>
  </w:footnote>
  <w:footnote w:type="continuationSeparator" w:id="0">
    <w:p w:rsidR="00F4432B" w:rsidRDefault="00F44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36C1B"/>
    <w:multiLevelType w:val="hybridMultilevel"/>
    <w:tmpl w:val="2728A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06D"/>
    <w:rsid w:val="0067606D"/>
    <w:rsid w:val="008C78BE"/>
    <w:rsid w:val="00F05420"/>
    <w:rsid w:val="00F443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606D"/>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7606D"/>
    <w:pPr>
      <w:widowControl w:val="0"/>
      <w:autoSpaceDE w:val="0"/>
      <w:autoSpaceDN w:val="0"/>
      <w:adjustRightInd w:val="0"/>
      <w:spacing w:after="0" w:line="240" w:lineRule="auto"/>
    </w:pPr>
    <w:rPr>
      <w:rFonts w:ascii="Tahoma" w:eastAsiaTheme="minorEastAsia" w:hAnsi="Tahoma" w:cs="Tahoma"/>
      <w:color w:val="000000"/>
      <w:sz w:val="24"/>
      <w:szCs w:val="24"/>
      <w:lang w:eastAsia="it-IT"/>
    </w:rPr>
  </w:style>
  <w:style w:type="paragraph" w:styleId="Paragrafoelenco">
    <w:name w:val="List Paragraph"/>
    <w:basedOn w:val="Normale"/>
    <w:uiPriority w:val="34"/>
    <w:qFormat/>
    <w:rsid w:val="0067606D"/>
    <w:pPr>
      <w:ind w:left="708"/>
    </w:pPr>
  </w:style>
  <w:style w:type="paragraph" w:styleId="Pidipagina">
    <w:name w:val="footer"/>
    <w:basedOn w:val="Normale"/>
    <w:link w:val="PidipaginaCarattere"/>
    <w:uiPriority w:val="99"/>
    <w:unhideWhenUsed/>
    <w:rsid w:val="006760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06D"/>
    <w:rPr>
      <w:rFonts w:eastAsiaTheme="minorEastAsia"/>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606D"/>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7606D"/>
    <w:pPr>
      <w:widowControl w:val="0"/>
      <w:autoSpaceDE w:val="0"/>
      <w:autoSpaceDN w:val="0"/>
      <w:adjustRightInd w:val="0"/>
      <w:spacing w:after="0" w:line="240" w:lineRule="auto"/>
    </w:pPr>
    <w:rPr>
      <w:rFonts w:ascii="Tahoma" w:eastAsiaTheme="minorEastAsia" w:hAnsi="Tahoma" w:cs="Tahoma"/>
      <w:color w:val="000000"/>
      <w:sz w:val="24"/>
      <w:szCs w:val="24"/>
      <w:lang w:eastAsia="it-IT"/>
    </w:rPr>
  </w:style>
  <w:style w:type="paragraph" w:styleId="Paragrafoelenco">
    <w:name w:val="List Paragraph"/>
    <w:basedOn w:val="Normale"/>
    <w:uiPriority w:val="34"/>
    <w:qFormat/>
    <w:rsid w:val="0067606D"/>
    <w:pPr>
      <w:ind w:left="708"/>
    </w:pPr>
  </w:style>
  <w:style w:type="paragraph" w:styleId="Pidipagina">
    <w:name w:val="footer"/>
    <w:basedOn w:val="Normale"/>
    <w:link w:val="PidipaginaCarattere"/>
    <w:uiPriority w:val="99"/>
    <w:unhideWhenUsed/>
    <w:rsid w:val="006760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06D"/>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Fabozzi</dc:creator>
  <cp:lastModifiedBy>Valentina Brusatin</cp:lastModifiedBy>
  <cp:revision>2</cp:revision>
  <dcterms:created xsi:type="dcterms:W3CDTF">2023-11-28T11:50:00Z</dcterms:created>
  <dcterms:modified xsi:type="dcterms:W3CDTF">2023-11-28T11:50:00Z</dcterms:modified>
</cp:coreProperties>
</file>